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        </w:t>
      </w:r>
      <w:r>
        <w:rPr>
          <w:rStyle w:val="a4"/>
          <w:rFonts w:ascii="LatoWeb" w:hAnsi="LatoWeb"/>
          <w:color w:val="0B1F33"/>
        </w:rPr>
        <w:t>В рамках Программы государственных гарантий бесплатного оказания гражданам медицинской помощи на 2025 и плановый период 2026 и 2027 годов бесплатно оказывается: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        Первичная медико-санитарная помощь в амбулаторных условиях и в условиях дневного стационара (в плановой и неотложной формах):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-      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образованием;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        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-        Первичная специализированная медико-санитарная помощь оказывается врачам</w:t>
      </w:r>
      <w:proofErr w:type="gramStart"/>
      <w:r>
        <w:rPr>
          <w:rFonts w:ascii="LatoWeb" w:hAnsi="LatoWeb"/>
          <w:color w:val="0B1F33"/>
        </w:rPr>
        <w:t>и-</w:t>
      </w:r>
      <w:proofErr w:type="gramEnd"/>
      <w:r>
        <w:rPr>
          <w:rFonts w:ascii="LatoWeb" w:hAnsi="LatoWeb"/>
          <w:color w:val="0B1F33"/>
        </w:rPr>
        <w:t xml:space="preserve"> специалистами, включая врачей-специалистов ГУЗ « ГКБ № 2 г. Тулы имени Е.Г. Лазарева», оказывающих специализированную, в том числе высокотехнологичную, медицинскую помощь.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 Специализированная медицинская помощь в стационарных условиях и в условиях дневного стационара врачами-специалистами (в плановой и неотложной формах).</w:t>
      </w:r>
      <w:r>
        <w:rPr>
          <w:rFonts w:ascii="LatoWeb" w:hAnsi="LatoWeb"/>
          <w:color w:val="0B1F33"/>
        </w:rPr>
        <w:br/>
        <w:t>         Специализированная медицинская помощь оказывается врачами-специалистами, включая врачей-специалистов ГУЗ « ГКБ № 2 г. Тулы имени Е.Г. Лазарева», оказывающих специализированную, в том числе высокотехнологичную, медицинскую помощь.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   Гражданин имеет право на бесплатное получение медицинской помощи по видам, формам и условиям ее оказания в соответствии с Программой государственных гарантий бесплатного оказания гражданам медицинской помощи на 2023 и плановый период 2024 и 2025 годов бесплатно при следующих заболеваниях и состояниях: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новообразования; </w:t>
      </w:r>
      <w:r>
        <w:rPr>
          <w:rFonts w:ascii="LatoWeb" w:hAnsi="LatoWeb"/>
          <w:color w:val="0B1F33"/>
        </w:rPr>
        <w:br/>
        <w:t>болезни эндокринной системы;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расстройства питания и нарушения обмена веществ;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нервной системы;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крови, кроветворных органов;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отдельные нарушения, вовлекающие иммунный механизм;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глаза и его придаточного аппарата;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уха и сосцевидного отростка;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системы кровообращения;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органов дыхания;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болезни органов пищеварения, в том числе болезни полости рта, слюнных желез и челюстей (за исключением зубного протезирования);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мочеполовой системы;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кожи и подкожной клетчатки;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болезни костно-мышечной системы и соединительной ткани;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травмы, отравления и некоторые другие последствия воздействия внешних причин; врожденные аномалии (пороки развития);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деформации и хромосомные нарушения;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беременность, послеродовой период и аборты; 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отдельные состояния, возникающие у детей в перинатальный период;</w:t>
      </w:r>
    </w:p>
    <w:p w:rsidR="00A65D23" w:rsidRDefault="00A65D23" w:rsidP="00A65D23">
      <w:pPr>
        <w:pStyle w:val="a3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симптомы, признаки и отклонения от нормы, не отнесенные к заболеваниям и состояния</w:t>
      </w:r>
    </w:p>
    <w:p w:rsidR="00BB1512" w:rsidRPr="00A65D23" w:rsidRDefault="00BB15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B1512" w:rsidRPr="00A65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D23"/>
    <w:rsid w:val="00A65D23"/>
    <w:rsid w:val="00B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D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User2020</dc:creator>
  <cp:lastModifiedBy>User2020</cp:lastModifiedBy>
  <cp:revision>1</cp:revision>
  <dcterms:created xsi:type="dcterms:W3CDTF">2025-04-10T08:07:00Z</dcterms:created>
  <dcterms:modified xsi:type="dcterms:W3CDTF">2025-04-10T08:08:00Z</dcterms:modified>
</cp:coreProperties>
</file>